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1F3A5F"/>
        <w:sz w:val="34"/>
      </w:rPr>
      <w:t xml:space="preserve">Northfield Consulting Group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Strategy · Operations · Growth</w:t>
    </w:r>
  </w:p>
  <w:p>
    <w:pPr>
      <w:pBdr>
        <w:bottom w:val="single" w:sz="12" w:space="6" w:color="C9A227"/>
      </w:pBdr>
      <w:jc w:val="right"/>
      <w:spacing w:before="0" w:after="0"/>
    </w:pPr>
    <w:r>
      <w:rPr>
        <w:rFonts w:ascii="Arial" w:hAnsi="Arial" w:cs="Arial"/>
        <w:color w:val="444444"/>
        <w:sz w:val="16"/>
      </w:rPr>
      <w:t xml:space="preserve">400 Market Street, Suite 1200, Denver, CO 80202  ·  (303) 555-0142  ·  hello@northfield.example  ·  northfield.example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Northfield Consulting Group letterhead template</dc:title>
  <dc:creator>letterheadexamples.com</dc:creator>
</cp:coreProperties>
</file>