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2F3E46"/>
        <w:sz w:val="34"/>
      </w:rPr>
      <w:t xml:space="preserve">Dr. Rafael Teixeira</w:t>
    </w:r>
  </w:p>
  <w:p>
    <w:pP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Advogado · OAB/MG 000.000 · Direito Civil e Imobiliário</w:t>
    </w:r>
  </w:p>
  <w:p>
    <w:pPr>
      <w:pBdr>
        <w:bottom w:val="single" w:sz="12" w:space="6" w:color="84A98C"/>
      </w:pBdr>
      <w:jc w:val="right"/>
      <w:spacing w:before="0" w:after="0"/>
    </w:pPr>
    <w:r>
      <w:rPr>
        <w:rFonts w:ascii="Georgia" w:hAnsi="Georgia" w:cs="Georgia"/>
        <w:color w:val="444444"/>
        <w:sz w:val="16"/>
      </w:rPr>
      <w:t xml:space="preserve">Rua Espírito Santo, 610 – Sala 3, Belo Horizonte – MG · CEP 00000-000  ·  (31) 0000-0000  ·  rafael@teixeiraadv.example  ·  teixeiraadv.example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Dr. Rafael Teixeira</dc:title>
  <dc:creator>letterheadexamples.com</dc:creator>
</cp:coreProperties>
</file>